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84002" w14:textId="795DF034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 xml:space="preserve"> PROPCO – AMENDED &amp; RESTATED OPERATING AGREEMENT</w:t>
      </w:r>
    </w:p>
    <w:p w14:paraId="7E6C516F" w14:textId="77777777" w:rsidR="001F5372" w:rsidRPr="001F5372" w:rsidRDefault="001F5372" w:rsidP="001F5372">
      <w:r w:rsidRPr="001F5372">
        <w:pict w14:anchorId="78299F3C">
          <v:rect id="_x0000_i1111" style="width:0;height:1.5pt" o:hralign="center" o:hrstd="t" o:hr="t" fillcolor="#a0a0a0" stroked="f"/>
        </w:pict>
      </w:r>
    </w:p>
    <w:p w14:paraId="1C7CFED2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1 – Ownership</w:t>
      </w:r>
    </w:p>
    <w:p w14:paraId="02487C8F" w14:textId="77777777" w:rsidR="001F5372" w:rsidRPr="001F5372" w:rsidRDefault="001F5372" w:rsidP="001F5372">
      <w:r w:rsidRPr="001F5372">
        <w:t>MJ – 51%</w:t>
      </w:r>
      <w:r w:rsidRPr="001F5372">
        <w:br/>
        <w:t>BG – 24.5%</w:t>
      </w:r>
      <w:r w:rsidRPr="001F5372">
        <w:br/>
        <w:t>OG – 24.5%</w:t>
      </w:r>
    </w:p>
    <w:p w14:paraId="31DF2B41" w14:textId="77777777" w:rsidR="001F5372" w:rsidRPr="001F5372" w:rsidRDefault="001F5372" w:rsidP="001F5372">
      <w:r w:rsidRPr="001F5372">
        <w:pict w14:anchorId="6FCEA8DF">
          <v:rect id="_x0000_i1112" style="width:0;height:1.5pt" o:hralign="center" o:hrstd="t" o:hr="t" fillcolor="#a0a0a0" stroked="f"/>
        </w:pict>
      </w:r>
    </w:p>
    <w:p w14:paraId="598B2405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2 – Purpose</w:t>
      </w:r>
    </w:p>
    <w:p w14:paraId="49F1C8A1" w14:textId="77777777" w:rsidR="001F5372" w:rsidRPr="001F5372" w:rsidRDefault="001F5372" w:rsidP="001F5372">
      <w:r w:rsidRPr="001F5372">
        <w:t xml:space="preserve">To own, manage, and lease real estate to </w:t>
      </w:r>
      <w:proofErr w:type="spellStart"/>
      <w:r w:rsidRPr="001F5372">
        <w:t>OpCo</w:t>
      </w:r>
      <w:proofErr w:type="spellEnd"/>
      <w:r w:rsidRPr="001F5372">
        <w:t>.</w:t>
      </w:r>
    </w:p>
    <w:p w14:paraId="5BAAA925" w14:textId="77777777" w:rsidR="001F5372" w:rsidRPr="001F5372" w:rsidRDefault="001F5372" w:rsidP="001F5372">
      <w:r w:rsidRPr="001F5372">
        <w:pict w14:anchorId="66315863">
          <v:rect id="_x0000_i1113" style="width:0;height:1.5pt" o:hralign="center" o:hrstd="t" o:hr="t" fillcolor="#a0a0a0" stroked="f"/>
        </w:pict>
      </w:r>
    </w:p>
    <w:p w14:paraId="3D27D66B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3 – Management</w:t>
      </w:r>
    </w:p>
    <w:p w14:paraId="3C59A8E1" w14:textId="77777777" w:rsidR="001F5372" w:rsidRPr="001F5372" w:rsidRDefault="001F5372" w:rsidP="001F5372">
      <w:r w:rsidRPr="001F5372">
        <w:t xml:space="preserve">Governance shall align with </w:t>
      </w:r>
      <w:proofErr w:type="spellStart"/>
      <w:r w:rsidRPr="001F5372">
        <w:t>OpCo</w:t>
      </w:r>
      <w:proofErr w:type="spellEnd"/>
      <w:r w:rsidRPr="001F5372">
        <w:t xml:space="preserve"> principles.</w:t>
      </w:r>
    </w:p>
    <w:p w14:paraId="56B089B1" w14:textId="77777777" w:rsidR="001F5372" w:rsidRPr="001F5372" w:rsidRDefault="001F5372" w:rsidP="001F5372">
      <w:r w:rsidRPr="001F5372">
        <w:pict w14:anchorId="0E18C507">
          <v:rect id="_x0000_i1114" style="width:0;height:1.5pt" o:hralign="center" o:hrstd="t" o:hr="t" fillcolor="#a0a0a0" stroked="f"/>
        </w:pict>
      </w:r>
    </w:p>
    <w:p w14:paraId="4D9F2FDB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4 – Lease Framework</w:t>
      </w:r>
    </w:p>
    <w:p w14:paraId="6EFBB541" w14:textId="77777777" w:rsidR="001F5372" w:rsidRPr="001F5372" w:rsidRDefault="001F5372" w:rsidP="001F5372">
      <w:r w:rsidRPr="001F5372">
        <w:t xml:space="preserve">4.1 </w:t>
      </w:r>
      <w:proofErr w:type="spellStart"/>
      <w:r w:rsidRPr="001F5372">
        <w:t>PropCo</w:t>
      </w:r>
      <w:proofErr w:type="spellEnd"/>
      <w:r w:rsidRPr="001F5372">
        <w:t xml:space="preserve"> shall lease property to </w:t>
      </w:r>
      <w:proofErr w:type="spellStart"/>
      <w:r w:rsidRPr="001F5372">
        <w:t>OpCo</w:t>
      </w:r>
      <w:proofErr w:type="spellEnd"/>
      <w:r w:rsidRPr="001F5372">
        <w:t xml:space="preserve"> under a fixed rent structure.</w:t>
      </w:r>
    </w:p>
    <w:p w14:paraId="49657081" w14:textId="77777777" w:rsidR="001F5372" w:rsidRPr="001F5372" w:rsidRDefault="001F5372" w:rsidP="001F5372">
      <w:r w:rsidRPr="001F5372">
        <w:t>4.2 Adjustments require Supermajority approval.</w:t>
      </w:r>
    </w:p>
    <w:p w14:paraId="5399E24C" w14:textId="77777777" w:rsidR="001F5372" w:rsidRPr="001F5372" w:rsidRDefault="001F5372" w:rsidP="001F5372">
      <w:r w:rsidRPr="001F5372">
        <w:t xml:space="preserve">4.3 Rent must not impair </w:t>
      </w:r>
      <w:proofErr w:type="spellStart"/>
      <w:r w:rsidRPr="001F5372">
        <w:t>OpCo’s</w:t>
      </w:r>
      <w:proofErr w:type="spellEnd"/>
      <w:r w:rsidRPr="001F5372">
        <w:t xml:space="preserve"> DSCR.</w:t>
      </w:r>
    </w:p>
    <w:p w14:paraId="518B6ADB" w14:textId="77777777" w:rsidR="001F5372" w:rsidRPr="001F5372" w:rsidRDefault="001F5372" w:rsidP="001F5372">
      <w:r w:rsidRPr="001F5372">
        <w:pict w14:anchorId="674B6912">
          <v:rect id="_x0000_i1115" style="width:0;height:1.5pt" o:hralign="center" o:hrstd="t" o:hr="t" fillcolor="#a0a0a0" stroked="f"/>
        </w:pict>
      </w:r>
    </w:p>
    <w:p w14:paraId="6C8F26F4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5 – Cash Flow Waterfall</w:t>
      </w:r>
    </w:p>
    <w:p w14:paraId="4AD63ED9" w14:textId="77777777" w:rsidR="001F5372" w:rsidRPr="001F5372" w:rsidRDefault="001F5372" w:rsidP="001F5372">
      <w:r w:rsidRPr="001F5372">
        <w:t>(1) Property operating expenses</w:t>
      </w:r>
      <w:r w:rsidRPr="001F5372">
        <w:br/>
        <w:t>(2) Debt service</w:t>
      </w:r>
      <w:r w:rsidRPr="001F5372">
        <w:br/>
        <w:t>(3) Required reserves</w:t>
      </w:r>
      <w:r w:rsidRPr="001F5372">
        <w:br/>
        <w:t>(4) Tax distributions</w:t>
      </w:r>
      <w:r w:rsidRPr="001F5372">
        <w:br/>
        <w:t>(5) Seller Note support distributions</w:t>
      </w:r>
      <w:r w:rsidRPr="001F5372">
        <w:br/>
        <w:t>(6) Profit distributions</w:t>
      </w:r>
    </w:p>
    <w:p w14:paraId="1835ED5E" w14:textId="77777777" w:rsidR="001F5372" w:rsidRPr="001F5372" w:rsidRDefault="001F5372" w:rsidP="001F5372">
      <w:r w:rsidRPr="001F5372">
        <w:pict w14:anchorId="530AB4F9">
          <v:rect id="_x0000_i1116" style="width:0;height:1.5pt" o:hralign="center" o:hrstd="t" o:hr="t" fillcolor="#a0a0a0" stroked="f"/>
        </w:pict>
      </w:r>
    </w:p>
    <w:p w14:paraId="67DFDD27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6 – Intercompany Alignment</w:t>
      </w:r>
    </w:p>
    <w:p w14:paraId="12340F3E" w14:textId="77777777" w:rsidR="001F5372" w:rsidRPr="001F5372" w:rsidRDefault="001F5372" w:rsidP="001F5372">
      <w:proofErr w:type="spellStart"/>
      <w:r w:rsidRPr="001F5372">
        <w:t>PropCo</w:t>
      </w:r>
      <w:proofErr w:type="spellEnd"/>
      <w:r w:rsidRPr="001F5372">
        <w:t xml:space="preserve"> shall coordinate with </w:t>
      </w:r>
      <w:proofErr w:type="spellStart"/>
      <w:r w:rsidRPr="001F5372">
        <w:t>OpCo</w:t>
      </w:r>
      <w:proofErr w:type="spellEnd"/>
      <w:r w:rsidRPr="001F5372">
        <w:t xml:space="preserve"> to ensure system-wide financial stability.</w:t>
      </w:r>
    </w:p>
    <w:p w14:paraId="72396A7A" w14:textId="77777777" w:rsidR="001F5372" w:rsidRPr="001F5372" w:rsidRDefault="001F5372" w:rsidP="001F5372">
      <w:r w:rsidRPr="001F5372">
        <w:pict w14:anchorId="5CCDA1B3">
          <v:rect id="_x0000_i1117" style="width:0;height:1.5pt" o:hralign="center" o:hrstd="t" o:hr="t" fillcolor="#a0a0a0" stroked="f"/>
        </w:pict>
      </w:r>
    </w:p>
    <w:p w14:paraId="1FB6C9ED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7 – Strategic Decisions</w:t>
      </w:r>
    </w:p>
    <w:p w14:paraId="426D4976" w14:textId="77777777" w:rsidR="001F5372" w:rsidRPr="001F5372" w:rsidRDefault="001F5372" w:rsidP="001F5372">
      <w:r w:rsidRPr="001F5372">
        <w:t xml:space="preserve">Same Supermajority rules as </w:t>
      </w:r>
      <w:proofErr w:type="spellStart"/>
      <w:r w:rsidRPr="001F5372">
        <w:t>OpCo</w:t>
      </w:r>
      <w:proofErr w:type="spellEnd"/>
      <w:r w:rsidRPr="001F5372">
        <w:t>.</w:t>
      </w:r>
    </w:p>
    <w:p w14:paraId="75A80ED4" w14:textId="77777777" w:rsidR="001F5372" w:rsidRPr="001F5372" w:rsidRDefault="001F5372" w:rsidP="001F5372">
      <w:r w:rsidRPr="001F5372">
        <w:lastRenderedPageBreak/>
        <w:pict w14:anchorId="57C149C9">
          <v:rect id="_x0000_i1118" style="width:0;height:1.5pt" o:hralign="center" o:hrstd="t" o:hr="t" fillcolor="#a0a0a0" stroked="f"/>
        </w:pict>
      </w:r>
    </w:p>
    <w:p w14:paraId="4B4DC87C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8 – Seller Protection</w:t>
      </w:r>
    </w:p>
    <w:p w14:paraId="0211256D" w14:textId="77777777" w:rsidR="001F5372" w:rsidRPr="001F5372" w:rsidRDefault="001F5372" w:rsidP="001F5372">
      <w:r w:rsidRPr="001F5372">
        <w:t xml:space="preserve">Same framework as </w:t>
      </w:r>
      <w:proofErr w:type="spellStart"/>
      <w:r w:rsidRPr="001F5372">
        <w:t>OpCo</w:t>
      </w:r>
      <w:proofErr w:type="spellEnd"/>
      <w:r w:rsidRPr="001F5372">
        <w:t xml:space="preserve"> applies.</w:t>
      </w:r>
    </w:p>
    <w:p w14:paraId="66D57B0C" w14:textId="77777777" w:rsidR="001F5372" w:rsidRPr="001F5372" w:rsidRDefault="001F5372" w:rsidP="001F5372">
      <w:r w:rsidRPr="001F5372">
        <w:pict w14:anchorId="2D38843B">
          <v:rect id="_x0000_i1119" style="width:0;height:1.5pt" o:hralign="center" o:hrstd="t" o:hr="t" fillcolor="#a0a0a0" stroked="f"/>
        </w:pict>
      </w:r>
    </w:p>
    <w:p w14:paraId="26DE5AE6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9 – Anti-Flip</w:t>
      </w:r>
    </w:p>
    <w:p w14:paraId="3B51E460" w14:textId="77777777" w:rsidR="001F5372" w:rsidRPr="001F5372" w:rsidRDefault="001F5372" w:rsidP="001F5372">
      <w:r w:rsidRPr="001F5372">
        <w:t xml:space="preserve">Same as </w:t>
      </w:r>
      <w:proofErr w:type="spellStart"/>
      <w:r w:rsidRPr="001F5372">
        <w:t>OpCo</w:t>
      </w:r>
      <w:proofErr w:type="spellEnd"/>
      <w:r w:rsidRPr="001F5372">
        <w:t>.</w:t>
      </w:r>
    </w:p>
    <w:p w14:paraId="4FB300E7" w14:textId="77777777" w:rsidR="001F5372" w:rsidRPr="001F5372" w:rsidRDefault="001F5372" w:rsidP="001F5372">
      <w:r w:rsidRPr="001F5372">
        <w:pict w14:anchorId="6C358799">
          <v:rect id="_x0000_i1120" style="width:0;height:1.5pt" o:hralign="center" o:hrstd="t" o:hr="t" fillcolor="#a0a0a0" stroked="f"/>
        </w:pict>
      </w:r>
    </w:p>
    <w:p w14:paraId="21368971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10 – Equity Protection</w:t>
      </w:r>
    </w:p>
    <w:p w14:paraId="444380A1" w14:textId="77777777" w:rsidR="001F5372" w:rsidRPr="001F5372" w:rsidRDefault="001F5372" w:rsidP="001F5372">
      <w:r w:rsidRPr="001F5372">
        <w:t xml:space="preserve">Same as </w:t>
      </w:r>
      <w:proofErr w:type="spellStart"/>
      <w:r w:rsidRPr="001F5372">
        <w:t>OpCo</w:t>
      </w:r>
      <w:proofErr w:type="spellEnd"/>
      <w:r w:rsidRPr="001F5372">
        <w:t>.</w:t>
      </w:r>
    </w:p>
    <w:p w14:paraId="6CAA6C63" w14:textId="77777777" w:rsidR="001F5372" w:rsidRPr="001F5372" w:rsidRDefault="001F5372" w:rsidP="001F5372">
      <w:r w:rsidRPr="001F5372">
        <w:pict w14:anchorId="5C9FF350">
          <v:rect id="_x0000_i1121" style="width:0;height:1.5pt" o:hralign="center" o:hrstd="t" o:hr="t" fillcolor="#a0a0a0" stroked="f"/>
        </w:pict>
      </w:r>
    </w:p>
    <w:p w14:paraId="610D123E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11 – Decision Escalation</w:t>
      </w:r>
    </w:p>
    <w:p w14:paraId="4D81AD2A" w14:textId="77777777" w:rsidR="001F5372" w:rsidRPr="001F5372" w:rsidRDefault="001F5372" w:rsidP="001F5372">
      <w:r w:rsidRPr="001F5372">
        <w:t xml:space="preserve">Same as </w:t>
      </w:r>
      <w:proofErr w:type="spellStart"/>
      <w:r w:rsidRPr="001F5372">
        <w:t>OpCo</w:t>
      </w:r>
      <w:proofErr w:type="spellEnd"/>
      <w:r w:rsidRPr="001F5372">
        <w:t>.</w:t>
      </w:r>
    </w:p>
    <w:p w14:paraId="02DCF988" w14:textId="77777777" w:rsidR="001F5372" w:rsidRPr="001F5372" w:rsidRDefault="001F5372" w:rsidP="001F5372">
      <w:r w:rsidRPr="001F5372">
        <w:pict w14:anchorId="7F463247">
          <v:rect id="_x0000_i1122" style="width:0;height:1.5pt" o:hralign="center" o:hrstd="t" o:hr="t" fillcolor="#a0a0a0" stroked="f"/>
        </w:pict>
      </w:r>
    </w:p>
    <w:p w14:paraId="725D7EA4" w14:textId="77777777" w:rsidR="001F5372" w:rsidRPr="001F5372" w:rsidRDefault="001F5372" w:rsidP="001F5372">
      <w:pPr>
        <w:rPr>
          <w:b/>
          <w:bCs/>
        </w:rPr>
      </w:pPr>
      <w:r w:rsidRPr="001F5372">
        <w:rPr>
          <w:b/>
          <w:bCs/>
        </w:rPr>
        <w:t>Section 12 – Lender Priority</w:t>
      </w:r>
    </w:p>
    <w:p w14:paraId="07D0482E" w14:textId="77777777" w:rsidR="001F5372" w:rsidRPr="001F5372" w:rsidRDefault="001F5372" w:rsidP="001F5372">
      <w:r w:rsidRPr="001F5372">
        <w:t xml:space="preserve">Same as </w:t>
      </w:r>
      <w:proofErr w:type="spellStart"/>
      <w:r w:rsidRPr="001F5372">
        <w:t>OpCo</w:t>
      </w:r>
      <w:proofErr w:type="spellEnd"/>
      <w:r w:rsidRPr="001F5372">
        <w:t>.</w:t>
      </w:r>
    </w:p>
    <w:p w14:paraId="7F863D47" w14:textId="77777777" w:rsidR="001F5372" w:rsidRDefault="001F5372"/>
    <w:sectPr w:rsidR="001F5372" w:rsidSect="00A1544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372"/>
    <w:rsid w:val="001F5372"/>
    <w:rsid w:val="00A15446"/>
    <w:rsid w:val="00C7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DCE84"/>
  <w15:chartTrackingRefBased/>
  <w15:docId w15:val="{C9EA85D7-2AE6-4AFB-98B9-63C9B2C5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3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3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53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53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53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53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53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53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53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53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3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53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53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53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53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53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53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53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53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53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53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53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53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53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53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53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3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3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53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893</Characters>
  <Application>Microsoft Office Word</Application>
  <DocSecurity>0</DocSecurity>
  <Lines>33</Lines>
  <Paragraphs>28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Gonzalez</dc:creator>
  <cp:keywords/>
  <dc:description/>
  <cp:lastModifiedBy>Oscar Gonzalez</cp:lastModifiedBy>
  <cp:revision>2</cp:revision>
  <dcterms:created xsi:type="dcterms:W3CDTF">2026-03-27T03:12:00Z</dcterms:created>
  <dcterms:modified xsi:type="dcterms:W3CDTF">2026-03-27T03:29:00Z</dcterms:modified>
</cp:coreProperties>
</file>